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2060" w14:textId="2C7B2E38" w:rsidR="008E3851" w:rsidRDefault="008E3851" w:rsidP="008E3851">
      <w:pPr>
        <w:pStyle w:val="OS-3"/>
      </w:pPr>
      <w:r>
        <w:t>Principper for høring og orientering til Vallensbæk Seniorråd og Handicaprådet</w:t>
      </w:r>
    </w:p>
    <w:p w14:paraId="2DC8A742" w14:textId="77777777" w:rsidR="00135771" w:rsidRDefault="00135771" w:rsidP="0013577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28982623" w14:textId="01476C1E" w:rsidR="00135771" w:rsidRDefault="00135771" w:rsidP="0013577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Center for Pleje og Omsorg har udarbejdet principper for</w:t>
      </w:r>
      <w:r w:rsidRPr="001E15CF">
        <w:t xml:space="preserve"> høring og orientering til Vallensbæk Seniorråd og Handicaprådet</w:t>
      </w:r>
      <w:r>
        <w:t>.</w:t>
      </w:r>
    </w:p>
    <w:p w14:paraId="1488A0B3" w14:textId="409068FC" w:rsidR="00135771" w:rsidRPr="001E15CF" w:rsidRDefault="00135771" w:rsidP="00135771">
      <w:pPr>
        <w:pBdr>
          <w:top w:val="nil"/>
          <w:left w:val="nil"/>
          <w:bottom w:val="nil"/>
          <w:right w:val="nil"/>
          <w:between w:val="nil"/>
          <w:bar w:val="nil"/>
        </w:pBdr>
      </w:pPr>
      <w:bookmarkStart w:id="0" w:name="_Hlk100130328"/>
      <w:r>
        <w:t xml:space="preserve">Principperne er en konkretisering af de regler omkring høring og orientering der fremgår af vedtægterne for Vallensbæk Seniorråd og Handicaprådet. Principperne skal således fungere som et supplement til vedtægterne for </w:t>
      </w:r>
      <w:r w:rsidRPr="00135771">
        <w:t>Vallensbæk Seniorråd og Handicaprådet</w:t>
      </w:r>
      <w:r>
        <w:t>.</w:t>
      </w:r>
    </w:p>
    <w:bookmarkEnd w:id="0"/>
    <w:p w14:paraId="502E0B82" w14:textId="624CE0E5" w:rsidR="00135771" w:rsidRDefault="00135771" w:rsidP="0013577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Principperne for høring og orientering af Vallensbæk Seniorråd indarbejdes i Seniorrådets vedtægter - i forbindelse med den kommende revidering af vedtægterne i 2023.</w:t>
      </w:r>
    </w:p>
    <w:p w14:paraId="4E176DEE" w14:textId="77777777" w:rsidR="00135771" w:rsidRDefault="0013577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5C38D577" w14:textId="4B62DBF8" w:rsidR="00444598" w:rsidRPr="00444598" w:rsidRDefault="008E3851" w:rsidP="00444598">
      <w:pPr>
        <w:pStyle w:val="Overskrift2"/>
      </w:pPr>
      <w:r>
        <w:t xml:space="preserve">Vallensbæk Seniorråd - rammer for høring og orientering </w:t>
      </w:r>
      <w:r w:rsidR="00444598">
        <w:br/>
      </w:r>
    </w:p>
    <w:p w14:paraId="3EA0ECD3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I vedtægternes pkt. 1.2 for Vallensbæk Seniorråd fremgår der følgende: ”Kommunalbestyrelsen skal høre Vallensbæk Seniorråd om alle indstillinger, der vedrører de ældre.”</w:t>
      </w:r>
    </w:p>
    <w:p w14:paraId="21B282B3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Det betyder, at alle politiske sagsfremstillinger, der vedrører ældre borgere over 60 år i Vallensbæk Kommune skal sendes til høring eller orientering i Vallensbæk Seniorråd. </w:t>
      </w:r>
    </w:p>
    <w:p w14:paraId="156D706C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Af § 30 i Lov om retssikkerhed og administration på det sociale område fremgår det:</w:t>
      </w:r>
    </w:p>
    <w:p w14:paraId="227EAA77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”Kommunalbestyrelsen skal i samarbejde med ældrerådet fastlægge de nærmere rammer for rådets virke, herunder aftale nærmere om, hvordan og i hvilket omfang ældrerådet skal høres.”</w:t>
      </w:r>
    </w:p>
    <w:p w14:paraId="6E813B1C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På den baggrund er der udarbejdet forslag til principper for høring og orientering til Vallensbæk Seniorråd.</w:t>
      </w:r>
    </w:p>
    <w:p w14:paraId="2DA1BF13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Sager der vedrører ældreområdet vil ofte blive fremlagt på Social- og Sundhedsudvalgets dagsorden. De øvrige udvalg kan dog også have sager med relevans for Vallensbæk Seniorråd.</w:t>
      </w:r>
    </w:p>
    <w:p w14:paraId="7F851725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Beskrivelsen af hørings- og orienteringsprocessen tager udgangspunkt i sager, der bliver fremlagt på Social- og Sundhedsudvalgets dagsorden. De øvrige stående udvalg skal følge samme hørings- og orienteringsproces.</w:t>
      </w:r>
    </w:p>
    <w:p w14:paraId="7872E2E9" w14:textId="77777777" w:rsidR="008E3851" w:rsidRP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</w:rPr>
      </w:pPr>
      <w:r w:rsidRPr="008E3851">
        <w:rPr>
          <w:rFonts w:cs="Arial"/>
        </w:rPr>
        <w:lastRenderedPageBreak/>
        <w:t xml:space="preserve">Der skelnes imellem to forskellige typer af sager: </w:t>
      </w:r>
    </w:p>
    <w:p w14:paraId="35B9B4B4" w14:textId="38DB7D79" w:rsidR="008E3851" w:rsidRPr="008E3851" w:rsidRDefault="008E3851" w:rsidP="008E3851">
      <w:pPr>
        <w:pStyle w:val="Listeafsni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8E3851">
        <w:rPr>
          <w:rFonts w:ascii="Arial" w:hAnsi="Arial" w:cs="Arial"/>
          <w:sz w:val="22"/>
          <w:szCs w:val="22"/>
        </w:rPr>
        <w:t>Sager der kræver, at udvalget træffer en konkret beslutning – beslutningssager</w:t>
      </w:r>
    </w:p>
    <w:p w14:paraId="3056373B" w14:textId="77777777" w:rsidR="008E3851" w:rsidRPr="008E3851" w:rsidRDefault="008E3851" w:rsidP="008E3851">
      <w:pPr>
        <w:pStyle w:val="Listeafsni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8E3851">
        <w:rPr>
          <w:rFonts w:ascii="Arial" w:hAnsi="Arial" w:cs="Arial"/>
          <w:sz w:val="22"/>
          <w:szCs w:val="22"/>
        </w:rPr>
        <w:t>Sager hvor udvalget bliver orienteret - orienteringssager</w:t>
      </w:r>
    </w:p>
    <w:p w14:paraId="4F302B1A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  <w:rPr>
          <w:iCs/>
          <w:u w:val="single"/>
        </w:rPr>
      </w:pPr>
    </w:p>
    <w:p w14:paraId="4C517933" w14:textId="6FCAB935" w:rsidR="008E3851" w:rsidRP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  <w:rPr>
          <w:iCs/>
          <w:u w:val="single"/>
        </w:rPr>
      </w:pPr>
      <w:r w:rsidRPr="008E3851">
        <w:rPr>
          <w:iCs/>
          <w:u w:val="single"/>
        </w:rPr>
        <w:t xml:space="preserve">Beslutningssager: </w:t>
      </w:r>
    </w:p>
    <w:p w14:paraId="6CA367D3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Alle beslutningssager, der vedrører ældre skal sendes i høring i Vallensbæk Seniorråd.</w:t>
      </w:r>
    </w:p>
    <w:p w14:paraId="53D302BC" w14:textId="618942A2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Høringsprocessen for en beslutningssag har følgende trin:</w:t>
      </w:r>
    </w:p>
    <w:p w14:paraId="611CD484" w14:textId="77777777" w:rsidR="008E3851" w:rsidRPr="008E3851" w:rsidRDefault="008E3851" w:rsidP="008E3851">
      <w:pPr>
        <w:pStyle w:val="Listeafsni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8E3851">
        <w:rPr>
          <w:rFonts w:ascii="Arial" w:hAnsi="Arial" w:cs="Arial"/>
          <w:sz w:val="22"/>
          <w:szCs w:val="22"/>
        </w:rPr>
        <w:t>Sagen bliver fremlagt og behandlet i Social- og Sundhedsudvalget, der skal godkende, at sagen bliver sendt i høring.</w:t>
      </w:r>
    </w:p>
    <w:p w14:paraId="2A11AD36" w14:textId="77777777" w:rsidR="008E3851" w:rsidRPr="008E3851" w:rsidRDefault="008E3851" w:rsidP="008E3851">
      <w:pPr>
        <w:pStyle w:val="Listeafsni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8E3851">
        <w:rPr>
          <w:rFonts w:ascii="Arial" w:hAnsi="Arial" w:cs="Arial"/>
          <w:sz w:val="22"/>
          <w:szCs w:val="22"/>
        </w:rPr>
        <w:t xml:space="preserve">Sagen bliver sendt i høring i Vallensbæk Seniorråd. </w:t>
      </w:r>
    </w:p>
    <w:p w14:paraId="032EC19E" w14:textId="77777777" w:rsidR="008E3851" w:rsidRPr="008E3851" w:rsidRDefault="008E3851" w:rsidP="008E3851">
      <w:pPr>
        <w:pStyle w:val="Listeafsni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8E3851">
        <w:rPr>
          <w:rFonts w:ascii="Arial" w:hAnsi="Arial" w:cs="Arial"/>
          <w:sz w:val="22"/>
          <w:szCs w:val="22"/>
        </w:rPr>
        <w:t>Sagen bliver fremlagt til endelig godkendelse i Social- og Sundhedsudvalget (og eventuelt Økonomiudvalget og Kommunalbestyrelsen afhængigt af sagens indhold).</w:t>
      </w:r>
    </w:p>
    <w:p w14:paraId="33C68B70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62E014A4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Eksempler på beslutningssager er den årlige sag om kvalitetsstandarder og den årlige sag om anvendelsen af værdighedsmidlerne.</w:t>
      </w:r>
    </w:p>
    <w:p w14:paraId="643E8C6C" w14:textId="77777777" w:rsidR="00135771" w:rsidRDefault="00135771" w:rsidP="008E3851">
      <w:pPr>
        <w:pBdr>
          <w:top w:val="nil"/>
          <w:left w:val="nil"/>
          <w:bottom w:val="nil"/>
          <w:right w:val="nil"/>
          <w:between w:val="nil"/>
          <w:bar w:val="nil"/>
        </w:pBdr>
        <w:rPr>
          <w:iCs/>
          <w:u w:val="single"/>
        </w:rPr>
      </w:pPr>
    </w:p>
    <w:p w14:paraId="036BDDFA" w14:textId="7F1859EB" w:rsidR="008E3851" w:rsidRP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  <w:rPr>
          <w:iCs/>
          <w:u w:val="single"/>
        </w:rPr>
      </w:pPr>
      <w:r w:rsidRPr="008E3851">
        <w:rPr>
          <w:iCs/>
          <w:u w:val="single"/>
        </w:rPr>
        <w:t>Orienteringssager:</w:t>
      </w:r>
    </w:p>
    <w:p w14:paraId="5C2F74CB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Alle orienteringssager, der vedrører ældre, skal sendes til orientering i Vallensbæk Seniorråd.</w:t>
      </w:r>
    </w:p>
    <w:p w14:paraId="5E69755C" w14:textId="69CE2866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Processen for orienteringssager har følgende trin:</w:t>
      </w:r>
    </w:p>
    <w:p w14:paraId="0EC82025" w14:textId="77777777" w:rsidR="008E3851" w:rsidRPr="008E3851" w:rsidRDefault="008E3851" w:rsidP="008E3851">
      <w:pPr>
        <w:pStyle w:val="Listeafsni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8E3851">
        <w:rPr>
          <w:rFonts w:ascii="Arial" w:hAnsi="Arial" w:cs="Arial"/>
          <w:sz w:val="22"/>
          <w:szCs w:val="22"/>
        </w:rPr>
        <w:t>Orienteringssagen bliver fremlagt i Social- og Sundhedsudvalget, der tager sagen til efterretning og godkender, at sagen bliver sendt til orientering i Vallensbæk Seniorråd.</w:t>
      </w:r>
    </w:p>
    <w:p w14:paraId="2E85D720" w14:textId="77777777" w:rsidR="008E3851" w:rsidRPr="008E3851" w:rsidRDefault="008E3851" w:rsidP="008E3851">
      <w:pPr>
        <w:pStyle w:val="Listeafsni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8E3851">
        <w:rPr>
          <w:rFonts w:ascii="Arial" w:hAnsi="Arial" w:cs="Arial"/>
          <w:sz w:val="22"/>
          <w:szCs w:val="22"/>
        </w:rPr>
        <w:t>Sagen inkl. bilag bliver sendt til orientering i Vallensbæk Seniorråd.</w:t>
      </w:r>
    </w:p>
    <w:p w14:paraId="5F9ABC7E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4E3E0DC2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Eksempler på orienteringssager er sager om årsrapporten for træningscenteret, kapacitetsprognose på ældreområdet og brugertilfredshedsundersøgelsen i hjemmeplejen.</w:t>
      </w:r>
    </w:p>
    <w:p w14:paraId="61F55046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4E0D3D6B" w14:textId="77777777" w:rsidR="008E3851" w:rsidRDefault="008E3851">
      <w:pPr>
        <w:rPr>
          <w:i/>
        </w:rPr>
      </w:pPr>
      <w:r>
        <w:rPr>
          <w:i/>
        </w:rPr>
        <w:br w:type="page"/>
      </w:r>
    </w:p>
    <w:p w14:paraId="3347E33F" w14:textId="2A9DA392" w:rsidR="008E3851" w:rsidRDefault="008E3851" w:rsidP="004F23B4">
      <w:pPr>
        <w:pStyle w:val="Overskrift2"/>
      </w:pPr>
      <w:r>
        <w:lastRenderedPageBreak/>
        <w:t>Handicaprådet - rammer for høring og orientering</w:t>
      </w:r>
      <w:r w:rsidR="00444598">
        <w:br/>
      </w:r>
    </w:p>
    <w:p w14:paraId="67E5A3FA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I vedtægternes pkt. 2.1 for Handicaprådet fremgår der følgende: ”Handicaprådet rådgiver kommunalbestyrelsen i handicappolitiske spørgsmål og kan behandle alle lokalpolitiske spørgsmål, som vedrører mennesker med handicap.”</w:t>
      </w:r>
    </w:p>
    <w:p w14:paraId="31D3C352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Det betyder, at alle politiske sagsfremstillinger der vedrører mennesker med handicap i Vallensbæk Kommune skal sendes til høring eller orientering i Handicaprådet. </w:t>
      </w:r>
    </w:p>
    <w:p w14:paraId="20AB500F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Af § 37 a i Lov om retssikkerhed og administration på det sociale område fremgår følgende:</w:t>
      </w:r>
    </w:p>
    <w:p w14:paraId="672B2457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”Kommunalbestyrelsen hører handicaprådet over alle initiativer, som har betydning for mennesker med handicap.”</w:t>
      </w:r>
    </w:p>
    <w:p w14:paraId="06424D32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På den baggrund er der udarbejdet forslag til konkrete principper for høring og orientering til Handicaprådet: </w:t>
      </w:r>
    </w:p>
    <w:p w14:paraId="40F923A1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Sager der vedrører Handicappolitiske spørgsmål vil ofte blive fremlagt på Social- og Sundhedsudvalgets dagsorden. De øvrige udvalg kan dog også have sager med relevans for Handicaprådet.</w:t>
      </w:r>
    </w:p>
    <w:p w14:paraId="03FAF67C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Beskrivelsen af hørings- og orienteringsprocessen tager udgangspunkt i sager fremlagt på Social- og Sundhedsudvalgets dagsorden. De øvrige stående udvalg skal følge samme hørings- og orienteringsproces.</w:t>
      </w:r>
    </w:p>
    <w:p w14:paraId="0C333037" w14:textId="07F44329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Der skelnes imellem to forskellige sagstyper: </w:t>
      </w:r>
    </w:p>
    <w:p w14:paraId="22CD7697" w14:textId="77777777" w:rsidR="008E3851" w:rsidRPr="00590D97" w:rsidRDefault="008E3851" w:rsidP="00590D97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590D97">
        <w:rPr>
          <w:rFonts w:ascii="Arial" w:hAnsi="Arial" w:cs="Arial"/>
          <w:sz w:val="22"/>
          <w:szCs w:val="22"/>
        </w:rPr>
        <w:t>Sager der kræver, at udvalget træffer en konkret beslutning – beslutningssager</w:t>
      </w:r>
    </w:p>
    <w:p w14:paraId="3F4B32B5" w14:textId="77777777" w:rsidR="008E3851" w:rsidRPr="00590D97" w:rsidRDefault="008E3851" w:rsidP="00590D97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590D97">
        <w:rPr>
          <w:rFonts w:ascii="Arial" w:hAnsi="Arial" w:cs="Arial"/>
          <w:sz w:val="22"/>
          <w:szCs w:val="22"/>
        </w:rPr>
        <w:t>Sager hvor udvalget bliver orienteret - orienteringssager</w:t>
      </w:r>
    </w:p>
    <w:p w14:paraId="42E517E7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69D2E410" w14:textId="77777777" w:rsidR="008E3851" w:rsidRPr="00590D97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  <w:rPr>
          <w:iCs/>
          <w:u w:val="single"/>
        </w:rPr>
      </w:pPr>
      <w:r w:rsidRPr="00590D97">
        <w:rPr>
          <w:iCs/>
          <w:u w:val="single"/>
        </w:rPr>
        <w:t xml:space="preserve">Beslutningssager: </w:t>
      </w:r>
    </w:p>
    <w:p w14:paraId="5A843046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Alle beslutningssager, der vedrører mennesker med handicap, skal sendes i høring i Handicaprådet.</w:t>
      </w:r>
    </w:p>
    <w:p w14:paraId="1C3CCDF1" w14:textId="40C12268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Høringsprocessen for en beslutningssag har følgende trin:</w:t>
      </w:r>
    </w:p>
    <w:p w14:paraId="63B5483A" w14:textId="77777777" w:rsidR="008E3851" w:rsidRPr="00590D97" w:rsidRDefault="008E3851" w:rsidP="008E3851">
      <w:pPr>
        <w:pStyle w:val="Listeafsni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590D97">
        <w:rPr>
          <w:rFonts w:ascii="Arial" w:hAnsi="Arial" w:cs="Arial"/>
          <w:sz w:val="22"/>
          <w:szCs w:val="22"/>
        </w:rPr>
        <w:t>Sagen bliver fremlagt og behandlet i Social- og Sundhedsudvalget, der skal godkende, at sagen bliver sendt i høring.</w:t>
      </w:r>
    </w:p>
    <w:p w14:paraId="3CA0C352" w14:textId="77777777" w:rsidR="008E3851" w:rsidRPr="00590D97" w:rsidRDefault="008E3851" w:rsidP="008E3851">
      <w:pPr>
        <w:pStyle w:val="Listeafsni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590D97">
        <w:rPr>
          <w:rFonts w:ascii="Arial" w:hAnsi="Arial" w:cs="Arial"/>
          <w:sz w:val="22"/>
          <w:szCs w:val="22"/>
        </w:rPr>
        <w:t xml:space="preserve">Sagen bliver sendt i høring i Handicaprådet. </w:t>
      </w:r>
    </w:p>
    <w:p w14:paraId="7E71E9FE" w14:textId="77777777" w:rsidR="008E3851" w:rsidRPr="00590D97" w:rsidRDefault="008E3851" w:rsidP="008E3851">
      <w:pPr>
        <w:pStyle w:val="Listeafsni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590D97">
        <w:rPr>
          <w:rFonts w:ascii="Arial" w:hAnsi="Arial" w:cs="Arial"/>
          <w:sz w:val="22"/>
          <w:szCs w:val="22"/>
        </w:rPr>
        <w:t>Sagen bliver fremlagt til endelig godkendelse i Social- og Sundhedsudvalget (og eventuelt Økonomiudvalget og Kommunalbestyrelsen afhængigt af sagens indhold).</w:t>
      </w:r>
    </w:p>
    <w:p w14:paraId="2C9C56AE" w14:textId="77777777" w:rsidR="00590D97" w:rsidRDefault="00590D97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456A5E8F" w14:textId="22337F03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lastRenderedPageBreak/>
        <w:t>Et eksempel på en beslutningssag er den årlige sagsfremstilling om kvalitetsstandarder.</w:t>
      </w:r>
    </w:p>
    <w:p w14:paraId="1CBA5BCF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3460CF18" w14:textId="77777777" w:rsidR="008E3851" w:rsidRPr="00590D97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  <w:rPr>
          <w:iCs/>
          <w:u w:val="single"/>
        </w:rPr>
      </w:pPr>
      <w:r w:rsidRPr="00590D97">
        <w:rPr>
          <w:iCs/>
          <w:u w:val="single"/>
        </w:rPr>
        <w:t>Orienteringssager:</w:t>
      </w:r>
    </w:p>
    <w:p w14:paraId="6989FFE1" w14:textId="1E0625BD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Alle orienteringssager, der vedrører mennesker med handicap, skal sendes til orientering i Handicaprådet.</w:t>
      </w:r>
    </w:p>
    <w:p w14:paraId="6E2A4E0D" w14:textId="6CE27C9B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Processen for orienteringssager har følgende trin:</w:t>
      </w:r>
    </w:p>
    <w:p w14:paraId="680142EE" w14:textId="77777777" w:rsidR="008E3851" w:rsidRPr="00590D97" w:rsidRDefault="008E3851" w:rsidP="008E3851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590D97">
        <w:rPr>
          <w:rFonts w:ascii="Arial" w:hAnsi="Arial" w:cs="Arial"/>
          <w:sz w:val="22"/>
          <w:szCs w:val="22"/>
        </w:rPr>
        <w:t>Orienteringssagen bliver fremlagt i Social- og Sundhedsudvalget, der tager sagen til efterretning og godkender, at sagen bliver sendt til orientering i Handicaprådet.</w:t>
      </w:r>
    </w:p>
    <w:p w14:paraId="13718832" w14:textId="77777777" w:rsidR="008E3851" w:rsidRPr="00590D97" w:rsidRDefault="008E3851" w:rsidP="008E3851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590D97">
        <w:rPr>
          <w:rFonts w:ascii="Arial" w:hAnsi="Arial" w:cs="Arial"/>
          <w:sz w:val="22"/>
          <w:szCs w:val="22"/>
        </w:rPr>
        <w:t>Sagen – inkl. bilag – bliver sendt til orientering i Handicaprådet.</w:t>
      </w:r>
    </w:p>
    <w:p w14:paraId="05829094" w14:textId="77777777" w:rsidR="008E3851" w:rsidRDefault="008E3851" w:rsidP="008E385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34801F87" w14:textId="38B9101C" w:rsidR="0001130A" w:rsidRPr="00FC701E" w:rsidRDefault="008E3851" w:rsidP="00590D97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Eksempler på orienteringssager er sagsfremstillinger om uanmeldte tilsyn på Løkkekrogen og årsrapporten for træningscenteret.</w:t>
      </w:r>
    </w:p>
    <w:sectPr w:rsidR="0001130A" w:rsidRPr="00FC701E" w:rsidSect="00A07D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418" w:bottom="28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1F9D" w14:textId="77777777" w:rsidR="008E3851" w:rsidRDefault="008E3851" w:rsidP="00A07D4E">
      <w:pPr>
        <w:spacing w:after="0" w:line="240" w:lineRule="auto"/>
      </w:pPr>
      <w:r>
        <w:separator/>
      </w:r>
    </w:p>
  </w:endnote>
  <w:endnote w:type="continuationSeparator" w:id="0">
    <w:p w14:paraId="31760F2F" w14:textId="77777777" w:rsidR="008E3851" w:rsidRDefault="008E3851" w:rsidP="00A0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64024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7B3C11" w14:textId="77777777" w:rsidR="00626D35" w:rsidRPr="00626D35" w:rsidRDefault="00626D35" w:rsidP="00626D35">
            <w:pPr>
              <w:pStyle w:val="Sidefod"/>
              <w:jc w:val="right"/>
            </w:pPr>
            <w:r w:rsidRPr="00626D35">
              <w:t xml:space="preserve">Side </w:t>
            </w:r>
            <w:r w:rsidRPr="00626D35">
              <w:rPr>
                <w:bCs/>
                <w:sz w:val="24"/>
                <w:szCs w:val="24"/>
              </w:rPr>
              <w:fldChar w:fldCharType="begin"/>
            </w:r>
            <w:r w:rsidRPr="00626D35">
              <w:rPr>
                <w:bCs/>
              </w:rPr>
              <w:instrText>PAGE</w:instrText>
            </w:r>
            <w:r w:rsidRPr="00626D35">
              <w:rPr>
                <w:bCs/>
                <w:sz w:val="24"/>
                <w:szCs w:val="24"/>
              </w:rPr>
              <w:fldChar w:fldCharType="separate"/>
            </w:r>
            <w:r w:rsidR="00634E69">
              <w:rPr>
                <w:bCs/>
                <w:noProof/>
              </w:rPr>
              <w:t>2</w:t>
            </w:r>
            <w:r w:rsidRPr="00626D35">
              <w:rPr>
                <w:bCs/>
                <w:sz w:val="24"/>
                <w:szCs w:val="24"/>
              </w:rPr>
              <w:fldChar w:fldCharType="end"/>
            </w:r>
            <w:r w:rsidRPr="00626D35">
              <w:t xml:space="preserve"> af </w:t>
            </w:r>
            <w:r w:rsidRPr="00626D35">
              <w:rPr>
                <w:bCs/>
                <w:sz w:val="24"/>
                <w:szCs w:val="24"/>
              </w:rPr>
              <w:fldChar w:fldCharType="begin"/>
            </w:r>
            <w:r w:rsidRPr="00626D35">
              <w:rPr>
                <w:bCs/>
              </w:rPr>
              <w:instrText>NUMPAGES</w:instrText>
            </w:r>
            <w:r w:rsidRPr="00626D35">
              <w:rPr>
                <w:bCs/>
                <w:sz w:val="24"/>
                <w:szCs w:val="24"/>
              </w:rPr>
              <w:fldChar w:fldCharType="separate"/>
            </w:r>
            <w:r w:rsidR="00634E69">
              <w:rPr>
                <w:bCs/>
                <w:noProof/>
              </w:rPr>
              <w:t>2</w:t>
            </w:r>
            <w:r w:rsidRPr="00626D3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BC0F40" w14:textId="77777777" w:rsidR="00B609C7" w:rsidRPr="00626D35" w:rsidRDefault="00B609C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52E7" w14:textId="77777777" w:rsidR="003A02F6" w:rsidRDefault="005D51B6">
    <w:pPr>
      <w:pStyle w:val="Sidefod"/>
    </w:pPr>
    <w:r>
      <w:rPr>
        <w:noProof/>
        <w:lang w:eastAsia="da-DK"/>
      </w:rPr>
      <w:pict w14:anchorId="4D969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0136" o:spid="_x0000_s2049" type="#_x0000_t75" style="position:absolute;margin-left:-74.1pt;margin-top:610.8pt;width:602.05pt;height:116.95pt;z-index:-251658240;mso-position-horizontal-relative:margin;mso-position-vertical-relative:margin" o:allowincell="f">
          <v:imagedata r:id="rId1" o:title="rådhusskabelon" croptop="56220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41A1" w14:textId="77777777" w:rsidR="008E3851" w:rsidRDefault="008E3851" w:rsidP="00A07D4E">
      <w:pPr>
        <w:spacing w:after="0" w:line="240" w:lineRule="auto"/>
      </w:pPr>
      <w:r>
        <w:separator/>
      </w:r>
    </w:p>
  </w:footnote>
  <w:footnote w:type="continuationSeparator" w:id="0">
    <w:p w14:paraId="49DE8DCB" w14:textId="77777777" w:rsidR="008E3851" w:rsidRDefault="008E3851" w:rsidP="00A07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C003" w14:textId="77777777" w:rsidR="00A07D4E" w:rsidRDefault="005D51B6">
    <w:pPr>
      <w:pStyle w:val="Sidehoved"/>
    </w:pPr>
    <w:r>
      <w:rPr>
        <w:noProof/>
        <w:lang w:eastAsia="da-DK"/>
      </w:rPr>
      <w:pict w14:anchorId="3B789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0137" o:spid="_x0000_s2050" type="#_x0000_t75" style="position:absolute;margin-left:0;margin-top:0;width:429.3pt;height:586.6pt;z-index:-251657216;mso-position-horizontal:center;mso-position-horizontal-relative:margin;mso-position-vertical:center;mso-position-vertical-relative:margin" o:allowincell="f">
          <v:imagedata r:id="rId1" o:title="rådhusskabel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1F86" w14:textId="77777777" w:rsidR="003A02F6" w:rsidRDefault="003A02F6">
    <w:pPr>
      <w:pStyle w:val="Sidehoved"/>
    </w:pPr>
    <w:r>
      <w:rPr>
        <w:rFonts w:ascii="Helvetica" w:hAnsi="Helvetica" w:cs="Helvetica"/>
        <w:noProof/>
        <w:lang w:eastAsia="da-DK"/>
      </w:rPr>
      <w:drawing>
        <wp:anchor distT="0" distB="0" distL="114300" distR="114300" simplePos="0" relativeHeight="251663360" behindDoc="1" locked="0" layoutInCell="1" allowOverlap="1" wp14:anchorId="1D459E29" wp14:editId="12D15A19">
          <wp:simplePos x="0" y="0"/>
          <wp:positionH relativeFrom="page">
            <wp:posOffset>4500880</wp:posOffset>
          </wp:positionH>
          <wp:positionV relativeFrom="page">
            <wp:posOffset>360045</wp:posOffset>
          </wp:positionV>
          <wp:extent cx="2160000" cy="525600"/>
          <wp:effectExtent l="0" t="0" r="0" b="825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tnygamme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E441" w14:textId="77777777" w:rsidR="00A07D4E" w:rsidRDefault="003A02F6">
    <w:pPr>
      <w:pStyle w:val="Sidehoved"/>
    </w:pPr>
    <w:r>
      <w:rPr>
        <w:rFonts w:ascii="Helvetica" w:hAnsi="Helvetica" w:cs="Helvetica"/>
        <w:noProof/>
        <w:lang w:eastAsia="da-DK"/>
      </w:rPr>
      <w:drawing>
        <wp:anchor distT="0" distB="0" distL="114300" distR="114300" simplePos="0" relativeHeight="251661312" behindDoc="1" locked="0" layoutInCell="1" allowOverlap="1" wp14:anchorId="047A2456" wp14:editId="5CD0B402">
          <wp:simplePos x="0" y="0"/>
          <wp:positionH relativeFrom="page">
            <wp:posOffset>4500880</wp:posOffset>
          </wp:positionH>
          <wp:positionV relativeFrom="page">
            <wp:posOffset>360045</wp:posOffset>
          </wp:positionV>
          <wp:extent cx="2160000" cy="525600"/>
          <wp:effectExtent l="0" t="0" r="0" b="825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tnygamme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1ABA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B085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08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A47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42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7E3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FE8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605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2C2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FE8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35486"/>
    <w:multiLevelType w:val="hybridMultilevel"/>
    <w:tmpl w:val="20301FC2"/>
    <w:lvl w:ilvl="0" w:tplc="9BD85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741210" w:tentative="1">
      <w:start w:val="1"/>
      <w:numFmt w:val="lowerLetter"/>
      <w:lvlText w:val="%2."/>
      <w:lvlJc w:val="left"/>
      <w:pPr>
        <w:ind w:left="1440" w:hanging="360"/>
      </w:pPr>
    </w:lvl>
    <w:lvl w:ilvl="2" w:tplc="585C2EA2" w:tentative="1">
      <w:start w:val="1"/>
      <w:numFmt w:val="lowerRoman"/>
      <w:lvlText w:val="%3."/>
      <w:lvlJc w:val="right"/>
      <w:pPr>
        <w:ind w:left="2160" w:hanging="180"/>
      </w:pPr>
    </w:lvl>
    <w:lvl w:ilvl="3" w:tplc="629EC9CC" w:tentative="1">
      <w:start w:val="1"/>
      <w:numFmt w:val="decimal"/>
      <w:lvlText w:val="%4."/>
      <w:lvlJc w:val="left"/>
      <w:pPr>
        <w:ind w:left="2880" w:hanging="360"/>
      </w:pPr>
    </w:lvl>
    <w:lvl w:ilvl="4" w:tplc="34B440B6" w:tentative="1">
      <w:start w:val="1"/>
      <w:numFmt w:val="lowerLetter"/>
      <w:lvlText w:val="%5."/>
      <w:lvlJc w:val="left"/>
      <w:pPr>
        <w:ind w:left="3600" w:hanging="360"/>
      </w:pPr>
    </w:lvl>
    <w:lvl w:ilvl="5" w:tplc="FC526AA0" w:tentative="1">
      <w:start w:val="1"/>
      <w:numFmt w:val="lowerRoman"/>
      <w:lvlText w:val="%6."/>
      <w:lvlJc w:val="right"/>
      <w:pPr>
        <w:ind w:left="4320" w:hanging="180"/>
      </w:pPr>
    </w:lvl>
    <w:lvl w:ilvl="6" w:tplc="FA58A704" w:tentative="1">
      <w:start w:val="1"/>
      <w:numFmt w:val="decimal"/>
      <w:lvlText w:val="%7."/>
      <w:lvlJc w:val="left"/>
      <w:pPr>
        <w:ind w:left="5040" w:hanging="360"/>
      </w:pPr>
    </w:lvl>
    <w:lvl w:ilvl="7" w:tplc="EA1CF9AE" w:tentative="1">
      <w:start w:val="1"/>
      <w:numFmt w:val="lowerLetter"/>
      <w:lvlText w:val="%8."/>
      <w:lvlJc w:val="left"/>
      <w:pPr>
        <w:ind w:left="5760" w:hanging="360"/>
      </w:pPr>
    </w:lvl>
    <w:lvl w:ilvl="8" w:tplc="29B0C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14B23"/>
    <w:multiLevelType w:val="hybridMultilevel"/>
    <w:tmpl w:val="1A4A1008"/>
    <w:lvl w:ilvl="0" w:tplc="90D6DA4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A5A08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265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B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C3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12E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8A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E4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C0DC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F264D"/>
    <w:multiLevelType w:val="hybridMultilevel"/>
    <w:tmpl w:val="080ACE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E29EA"/>
    <w:multiLevelType w:val="hybridMultilevel"/>
    <w:tmpl w:val="20301FC2"/>
    <w:lvl w:ilvl="0" w:tplc="99ACF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323092" w:tentative="1">
      <w:start w:val="1"/>
      <w:numFmt w:val="lowerLetter"/>
      <w:lvlText w:val="%2."/>
      <w:lvlJc w:val="left"/>
      <w:pPr>
        <w:ind w:left="1440" w:hanging="360"/>
      </w:pPr>
    </w:lvl>
    <w:lvl w:ilvl="2" w:tplc="A3906008" w:tentative="1">
      <w:start w:val="1"/>
      <w:numFmt w:val="lowerRoman"/>
      <w:lvlText w:val="%3."/>
      <w:lvlJc w:val="right"/>
      <w:pPr>
        <w:ind w:left="2160" w:hanging="180"/>
      </w:pPr>
    </w:lvl>
    <w:lvl w:ilvl="3" w:tplc="90FEF384" w:tentative="1">
      <w:start w:val="1"/>
      <w:numFmt w:val="decimal"/>
      <w:lvlText w:val="%4."/>
      <w:lvlJc w:val="left"/>
      <w:pPr>
        <w:ind w:left="2880" w:hanging="360"/>
      </w:pPr>
    </w:lvl>
    <w:lvl w:ilvl="4" w:tplc="BDA02C6A" w:tentative="1">
      <w:start w:val="1"/>
      <w:numFmt w:val="lowerLetter"/>
      <w:lvlText w:val="%5."/>
      <w:lvlJc w:val="left"/>
      <w:pPr>
        <w:ind w:left="3600" w:hanging="360"/>
      </w:pPr>
    </w:lvl>
    <w:lvl w:ilvl="5" w:tplc="4134FAEE" w:tentative="1">
      <w:start w:val="1"/>
      <w:numFmt w:val="lowerRoman"/>
      <w:lvlText w:val="%6."/>
      <w:lvlJc w:val="right"/>
      <w:pPr>
        <w:ind w:left="4320" w:hanging="180"/>
      </w:pPr>
    </w:lvl>
    <w:lvl w:ilvl="6" w:tplc="0C00D7F4" w:tentative="1">
      <w:start w:val="1"/>
      <w:numFmt w:val="decimal"/>
      <w:lvlText w:val="%7."/>
      <w:lvlJc w:val="left"/>
      <w:pPr>
        <w:ind w:left="5040" w:hanging="360"/>
      </w:pPr>
    </w:lvl>
    <w:lvl w:ilvl="7" w:tplc="3F7E3E5E" w:tentative="1">
      <w:start w:val="1"/>
      <w:numFmt w:val="lowerLetter"/>
      <w:lvlText w:val="%8."/>
      <w:lvlJc w:val="left"/>
      <w:pPr>
        <w:ind w:left="5760" w:hanging="360"/>
      </w:pPr>
    </w:lvl>
    <w:lvl w:ilvl="8" w:tplc="E7729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05F58"/>
    <w:multiLevelType w:val="multilevel"/>
    <w:tmpl w:val="E33AE9F0"/>
    <w:lvl w:ilvl="0">
      <w:start w:val="1"/>
      <w:numFmt w:val="decimal"/>
      <w:suff w:val="space"/>
      <w:lvlText w:val="Kapitel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3A156B93"/>
    <w:multiLevelType w:val="hybridMultilevel"/>
    <w:tmpl w:val="6200F3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07EB"/>
    <w:multiLevelType w:val="multilevel"/>
    <w:tmpl w:val="FCC6F90E"/>
    <w:lvl w:ilvl="0">
      <w:start w:val="1"/>
      <w:numFmt w:val="upperRoman"/>
      <w:pStyle w:val="Overskrift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Overskrift3"/>
      <w:lvlText w:val="%3."/>
      <w:lvlJc w:val="left"/>
      <w:pPr>
        <w:ind w:left="1440" w:firstLine="0"/>
      </w:pPr>
    </w:lvl>
    <w:lvl w:ilvl="3">
      <w:start w:val="1"/>
      <w:numFmt w:val="lowerLetter"/>
      <w:pStyle w:val="Overskrift4"/>
      <w:lvlText w:val="%4)"/>
      <w:lvlJc w:val="left"/>
      <w:pPr>
        <w:ind w:left="2160" w:firstLine="0"/>
      </w:pPr>
    </w:lvl>
    <w:lvl w:ilvl="4">
      <w:start w:val="1"/>
      <w:numFmt w:val="decimal"/>
      <w:pStyle w:val="Overskrift5"/>
      <w:lvlText w:val="(%5)"/>
      <w:lvlJc w:val="left"/>
      <w:pPr>
        <w:ind w:left="2880" w:firstLine="0"/>
      </w:pPr>
    </w:lvl>
    <w:lvl w:ilvl="5">
      <w:start w:val="1"/>
      <w:numFmt w:val="lowerLetter"/>
      <w:pStyle w:val="Overskrift6"/>
      <w:lvlText w:val="(%6)"/>
      <w:lvlJc w:val="left"/>
      <w:pPr>
        <w:ind w:left="3600" w:firstLine="0"/>
      </w:pPr>
    </w:lvl>
    <w:lvl w:ilvl="6">
      <w:start w:val="1"/>
      <w:numFmt w:val="lowerRoman"/>
      <w:pStyle w:val="Overskrift7"/>
      <w:lvlText w:val="(%7)"/>
      <w:lvlJc w:val="left"/>
      <w:pPr>
        <w:ind w:left="4320" w:firstLine="0"/>
      </w:pPr>
    </w:lvl>
    <w:lvl w:ilvl="7">
      <w:start w:val="1"/>
      <w:numFmt w:val="lowerLetter"/>
      <w:pStyle w:val="Overskrift8"/>
      <w:lvlText w:val="(%8)"/>
      <w:lvlJc w:val="left"/>
      <w:pPr>
        <w:ind w:left="5040" w:firstLine="0"/>
      </w:pPr>
    </w:lvl>
    <w:lvl w:ilvl="8">
      <w:start w:val="1"/>
      <w:numFmt w:val="lowerRoman"/>
      <w:pStyle w:val="Overskrift9"/>
      <w:lvlText w:val="(%9)"/>
      <w:lvlJc w:val="left"/>
      <w:pPr>
        <w:ind w:left="5760" w:firstLine="0"/>
      </w:pPr>
    </w:lvl>
  </w:abstractNum>
  <w:abstractNum w:abstractNumId="17" w15:restartNumberingAfterBreak="0">
    <w:nsid w:val="44040C55"/>
    <w:multiLevelType w:val="hybridMultilevel"/>
    <w:tmpl w:val="8488FF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46FA0"/>
    <w:multiLevelType w:val="hybridMultilevel"/>
    <w:tmpl w:val="20301FC2"/>
    <w:lvl w:ilvl="0" w:tplc="1D20D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2630B2" w:tentative="1">
      <w:start w:val="1"/>
      <w:numFmt w:val="lowerLetter"/>
      <w:lvlText w:val="%2."/>
      <w:lvlJc w:val="left"/>
      <w:pPr>
        <w:ind w:left="1440" w:hanging="360"/>
      </w:pPr>
    </w:lvl>
    <w:lvl w:ilvl="2" w:tplc="7BBEC5CC" w:tentative="1">
      <w:start w:val="1"/>
      <w:numFmt w:val="lowerRoman"/>
      <w:lvlText w:val="%3."/>
      <w:lvlJc w:val="right"/>
      <w:pPr>
        <w:ind w:left="2160" w:hanging="180"/>
      </w:pPr>
    </w:lvl>
    <w:lvl w:ilvl="3" w:tplc="AA8A1F18" w:tentative="1">
      <w:start w:val="1"/>
      <w:numFmt w:val="decimal"/>
      <w:lvlText w:val="%4."/>
      <w:lvlJc w:val="left"/>
      <w:pPr>
        <w:ind w:left="2880" w:hanging="360"/>
      </w:pPr>
    </w:lvl>
    <w:lvl w:ilvl="4" w:tplc="4448F3F0" w:tentative="1">
      <w:start w:val="1"/>
      <w:numFmt w:val="lowerLetter"/>
      <w:lvlText w:val="%5."/>
      <w:lvlJc w:val="left"/>
      <w:pPr>
        <w:ind w:left="3600" w:hanging="360"/>
      </w:pPr>
    </w:lvl>
    <w:lvl w:ilvl="5" w:tplc="C8CA8CE6" w:tentative="1">
      <w:start w:val="1"/>
      <w:numFmt w:val="lowerRoman"/>
      <w:lvlText w:val="%6."/>
      <w:lvlJc w:val="right"/>
      <w:pPr>
        <w:ind w:left="4320" w:hanging="180"/>
      </w:pPr>
    </w:lvl>
    <w:lvl w:ilvl="6" w:tplc="C346FAAC" w:tentative="1">
      <w:start w:val="1"/>
      <w:numFmt w:val="decimal"/>
      <w:lvlText w:val="%7."/>
      <w:lvlJc w:val="left"/>
      <w:pPr>
        <w:ind w:left="5040" w:hanging="360"/>
      </w:pPr>
    </w:lvl>
    <w:lvl w:ilvl="7" w:tplc="41A25A3E" w:tentative="1">
      <w:start w:val="1"/>
      <w:numFmt w:val="lowerLetter"/>
      <w:lvlText w:val="%8."/>
      <w:lvlJc w:val="left"/>
      <w:pPr>
        <w:ind w:left="5760" w:hanging="360"/>
      </w:pPr>
    </w:lvl>
    <w:lvl w:ilvl="8" w:tplc="5BA2D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C4500"/>
    <w:multiLevelType w:val="hybridMultilevel"/>
    <w:tmpl w:val="20301FC2"/>
    <w:lvl w:ilvl="0" w:tplc="9F422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40A20E" w:tentative="1">
      <w:start w:val="1"/>
      <w:numFmt w:val="lowerLetter"/>
      <w:lvlText w:val="%2."/>
      <w:lvlJc w:val="left"/>
      <w:pPr>
        <w:ind w:left="1440" w:hanging="360"/>
      </w:pPr>
    </w:lvl>
    <w:lvl w:ilvl="2" w:tplc="85941BC2" w:tentative="1">
      <w:start w:val="1"/>
      <w:numFmt w:val="lowerRoman"/>
      <w:lvlText w:val="%3."/>
      <w:lvlJc w:val="right"/>
      <w:pPr>
        <w:ind w:left="2160" w:hanging="180"/>
      </w:pPr>
    </w:lvl>
    <w:lvl w:ilvl="3" w:tplc="55261EC8" w:tentative="1">
      <w:start w:val="1"/>
      <w:numFmt w:val="decimal"/>
      <w:lvlText w:val="%4."/>
      <w:lvlJc w:val="left"/>
      <w:pPr>
        <w:ind w:left="2880" w:hanging="360"/>
      </w:pPr>
    </w:lvl>
    <w:lvl w:ilvl="4" w:tplc="60784CB2" w:tentative="1">
      <w:start w:val="1"/>
      <w:numFmt w:val="lowerLetter"/>
      <w:lvlText w:val="%5."/>
      <w:lvlJc w:val="left"/>
      <w:pPr>
        <w:ind w:left="3600" w:hanging="360"/>
      </w:pPr>
    </w:lvl>
    <w:lvl w:ilvl="5" w:tplc="E1B8F2E4" w:tentative="1">
      <w:start w:val="1"/>
      <w:numFmt w:val="lowerRoman"/>
      <w:lvlText w:val="%6."/>
      <w:lvlJc w:val="right"/>
      <w:pPr>
        <w:ind w:left="4320" w:hanging="180"/>
      </w:pPr>
    </w:lvl>
    <w:lvl w:ilvl="6" w:tplc="9DCE7D60" w:tentative="1">
      <w:start w:val="1"/>
      <w:numFmt w:val="decimal"/>
      <w:lvlText w:val="%7."/>
      <w:lvlJc w:val="left"/>
      <w:pPr>
        <w:ind w:left="5040" w:hanging="360"/>
      </w:pPr>
    </w:lvl>
    <w:lvl w:ilvl="7" w:tplc="56F8C01C" w:tentative="1">
      <w:start w:val="1"/>
      <w:numFmt w:val="lowerLetter"/>
      <w:lvlText w:val="%8."/>
      <w:lvlJc w:val="left"/>
      <w:pPr>
        <w:ind w:left="5760" w:hanging="360"/>
      </w:pPr>
    </w:lvl>
    <w:lvl w:ilvl="8" w:tplc="6B285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12BBC"/>
    <w:multiLevelType w:val="hybridMultilevel"/>
    <w:tmpl w:val="ED34A0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A08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265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B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C3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12E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8A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E4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C0DC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18"/>
  </w:num>
  <w:num w:numId="17">
    <w:abstractNumId w:val="13"/>
  </w:num>
  <w:num w:numId="18">
    <w:abstractNumId w:val="10"/>
  </w:num>
  <w:num w:numId="19">
    <w:abstractNumId w:val="19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521" w:allStyles="1" w:customStyles="0" w:latentStyles="0" w:stylesInUse="0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51"/>
    <w:rsid w:val="00007F50"/>
    <w:rsid w:val="0001130A"/>
    <w:rsid w:val="00041650"/>
    <w:rsid w:val="000F4341"/>
    <w:rsid w:val="00100936"/>
    <w:rsid w:val="00135771"/>
    <w:rsid w:val="00180067"/>
    <w:rsid w:val="001A4BF5"/>
    <w:rsid w:val="00260B39"/>
    <w:rsid w:val="002B7B47"/>
    <w:rsid w:val="002D30F2"/>
    <w:rsid w:val="00323994"/>
    <w:rsid w:val="00397591"/>
    <w:rsid w:val="003A02F6"/>
    <w:rsid w:val="00435F23"/>
    <w:rsid w:val="00444598"/>
    <w:rsid w:val="004677DD"/>
    <w:rsid w:val="004C0230"/>
    <w:rsid w:val="004F23B4"/>
    <w:rsid w:val="00590D97"/>
    <w:rsid w:val="005C48FB"/>
    <w:rsid w:val="005D51B6"/>
    <w:rsid w:val="00600AE7"/>
    <w:rsid w:val="0062372E"/>
    <w:rsid w:val="00626D35"/>
    <w:rsid w:val="00634E69"/>
    <w:rsid w:val="00655841"/>
    <w:rsid w:val="006E0F98"/>
    <w:rsid w:val="006E2FFA"/>
    <w:rsid w:val="007329A5"/>
    <w:rsid w:val="00750196"/>
    <w:rsid w:val="007701C0"/>
    <w:rsid w:val="007A2BB4"/>
    <w:rsid w:val="007E6ECB"/>
    <w:rsid w:val="007F1056"/>
    <w:rsid w:val="008914BB"/>
    <w:rsid w:val="008E3851"/>
    <w:rsid w:val="009022B1"/>
    <w:rsid w:val="009619D6"/>
    <w:rsid w:val="009A4224"/>
    <w:rsid w:val="009F614B"/>
    <w:rsid w:val="00A03484"/>
    <w:rsid w:val="00A07D4E"/>
    <w:rsid w:val="00AC4650"/>
    <w:rsid w:val="00AE1734"/>
    <w:rsid w:val="00B44539"/>
    <w:rsid w:val="00B609C7"/>
    <w:rsid w:val="00B848F3"/>
    <w:rsid w:val="00B85AEF"/>
    <w:rsid w:val="00BA3914"/>
    <w:rsid w:val="00BC3F39"/>
    <w:rsid w:val="00BD06C8"/>
    <w:rsid w:val="00C247D9"/>
    <w:rsid w:val="00C7234F"/>
    <w:rsid w:val="00C8325A"/>
    <w:rsid w:val="00C87F1A"/>
    <w:rsid w:val="00CB1EA7"/>
    <w:rsid w:val="00CB53A2"/>
    <w:rsid w:val="00D23F62"/>
    <w:rsid w:val="00D82BE1"/>
    <w:rsid w:val="00DC46A0"/>
    <w:rsid w:val="00DE5BE0"/>
    <w:rsid w:val="00E6169E"/>
    <w:rsid w:val="00EB67EB"/>
    <w:rsid w:val="00FC3A5D"/>
    <w:rsid w:val="00FC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3F2A57"/>
  <w15:docId w15:val="{D00DF305-7E7C-437F-B6AD-9CC22DE3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ød"/>
    <w:qFormat/>
    <w:rsid w:val="00600AE7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semiHidden/>
    <w:rsid w:val="009619D6"/>
    <w:pPr>
      <w:keepNext/>
      <w:keepLines/>
      <w:numPr>
        <w:numId w:val="1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aliases w:val="Fed"/>
    <w:basedOn w:val="Normal"/>
    <w:next w:val="Normal"/>
    <w:link w:val="Overskrift2Tegn"/>
    <w:autoRedefine/>
    <w:uiPriority w:val="2"/>
    <w:unhideWhenUsed/>
    <w:qFormat/>
    <w:rsid w:val="00600AE7"/>
    <w:pPr>
      <w:keepNext/>
      <w:keepLines/>
      <w:spacing w:before="120" w:after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C247D9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rsid w:val="00CB1EA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1EA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1EA7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1EA7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1EA7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1EA7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434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C83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17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semiHidden/>
    <w:rsid w:val="00AE17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B1EA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B1EA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OS-1">
    <w:name w:val="OS-1"/>
    <w:basedOn w:val="Normal"/>
    <w:link w:val="OS-1Tegn"/>
    <w:autoRedefine/>
    <w:qFormat/>
    <w:rsid w:val="007701C0"/>
    <w:pPr>
      <w:spacing w:before="180" w:after="60"/>
    </w:pPr>
    <w:rPr>
      <w:rFonts w:cs="Arial"/>
      <w:sz w:val="5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B1E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S-1Tegn">
    <w:name w:val="OS-1 Tegn"/>
    <w:basedOn w:val="Standardskrifttypeiafsnit"/>
    <w:link w:val="OS-1"/>
    <w:rsid w:val="007701C0"/>
    <w:rPr>
      <w:rFonts w:ascii="Arial" w:hAnsi="Arial" w:cs="Arial"/>
      <w:sz w:val="52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B1E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OS-2">
    <w:name w:val="OS-2"/>
    <w:basedOn w:val="Normal"/>
    <w:autoRedefine/>
    <w:qFormat/>
    <w:rsid w:val="00600AE7"/>
    <w:pPr>
      <w:spacing w:after="120"/>
    </w:pPr>
    <w:rPr>
      <w:rFonts w:ascii="Arial Narrow" w:hAnsi="Arial Narrow"/>
      <w:color w:val="808080" w:themeColor="background1" w:themeShade="80"/>
      <w:sz w:val="32"/>
    </w:rPr>
  </w:style>
  <w:style w:type="paragraph" w:customStyle="1" w:styleId="OS-3">
    <w:name w:val="OS-3"/>
    <w:basedOn w:val="Normal"/>
    <w:autoRedefine/>
    <w:qFormat/>
    <w:rsid w:val="007329A5"/>
    <w:pPr>
      <w:spacing w:before="100" w:line="240" w:lineRule="auto"/>
      <w:contextualSpacing/>
    </w:pPr>
    <w:rPr>
      <w:color w:val="000000" w:themeColor="text1"/>
      <w:sz w:val="32"/>
    </w:rPr>
  </w:style>
  <w:style w:type="character" w:customStyle="1" w:styleId="Overskrift2Tegn">
    <w:name w:val="Overskrift 2 Tegn"/>
    <w:aliases w:val="Fed Tegn"/>
    <w:basedOn w:val="Standardskrifttypeiafsnit"/>
    <w:link w:val="Overskrift2"/>
    <w:uiPriority w:val="2"/>
    <w:rsid w:val="00600AE7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B1E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B1E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t">
    <w:name w:val="Quote"/>
    <w:basedOn w:val="Normal"/>
    <w:next w:val="Normal"/>
    <w:link w:val="CitatTegn"/>
    <w:autoRedefine/>
    <w:qFormat/>
    <w:rsid w:val="007329A5"/>
    <w:pPr>
      <w:spacing w:before="200" w:after="160"/>
      <w:ind w:right="864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rsid w:val="007329A5"/>
    <w:rPr>
      <w:rFonts w:ascii="Arial" w:hAnsi="Arial"/>
      <w:i/>
      <w:iCs/>
      <w:color w:val="404040" w:themeColor="text1" w:themeTint="BF"/>
    </w:rPr>
  </w:style>
  <w:style w:type="paragraph" w:styleId="Sidehoved">
    <w:name w:val="header"/>
    <w:basedOn w:val="Normal"/>
    <w:link w:val="SidehovedTegn"/>
    <w:uiPriority w:val="99"/>
    <w:unhideWhenUsed/>
    <w:rsid w:val="00A07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7D4E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A07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7D4E"/>
    <w:rPr>
      <w:rFonts w:ascii="Arial" w:hAnsi="Arial"/>
    </w:rPr>
  </w:style>
  <w:style w:type="paragraph" w:styleId="Listeafsnit">
    <w:name w:val="List Paragraph"/>
    <w:basedOn w:val="Normal"/>
    <w:uiPriority w:val="34"/>
    <w:rsid w:val="008E3851"/>
    <w:pPr>
      <w:spacing w:after="0" w:line="240" w:lineRule="auto"/>
      <w:ind w:left="720"/>
      <w:contextualSpacing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n\Documents\Custom%20Office%20templates\r&#229;dhus_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0C18-9A7A-4349-B85E-70D6E822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rådhus_skabelon.dotx</Template>
  <TotalTime>19</TotalTime>
  <Pages>4</Pages>
  <Words>750</Words>
  <Characters>4893</Characters>
  <Application>Microsoft Office Word</Application>
  <DocSecurity>4</DocSecurity>
  <Lines>104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Vallensbæk Kommune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Lautrop Nielsen</dc:creator>
  <cp:lastModifiedBy>Linda Merete Therkildsen</cp:lastModifiedBy>
  <cp:revision>2</cp:revision>
  <cp:lastPrinted>2015-02-12T17:17:00Z</cp:lastPrinted>
  <dcterms:created xsi:type="dcterms:W3CDTF">2022-08-11T14:28:00Z</dcterms:created>
  <dcterms:modified xsi:type="dcterms:W3CDTF">2022-08-11T14:28:00Z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{2D9295BD-4F81-4D13-BF59-E274BD276729}</vt:lpwstr>
  </property>
</Properties>
</file>